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83FEE" w14:textId="77777777" w:rsidR="00171C69" w:rsidRDefault="00171C69">
      <w:pPr>
        <w:pBdr>
          <w:bottom w:val="single" w:sz="36" w:space="4" w:color="8A1C14"/>
        </w:pBdr>
        <w:spacing w:after="480"/>
        <w:rPr>
          <w:rFonts w:hint="eastAsia"/>
        </w:rPr>
      </w:pPr>
    </w:p>
    <w:p w14:paraId="2EB9735D" w14:textId="77777777" w:rsidR="00171C69" w:rsidRDefault="00000000">
      <w:pPr>
        <w:spacing w:after="80"/>
        <w:rPr>
          <w:rFonts w:hint="eastAsia"/>
        </w:rPr>
      </w:pPr>
      <w:r>
        <w:rPr>
          <w:rFonts w:ascii="Arial" w:hAnsi="Arial"/>
          <w:b/>
          <w:color w:val="8A1C14"/>
          <w:sz w:val="20"/>
        </w:rPr>
        <w:t>FOR IMMEDIATE RELEASE</w:t>
      </w:r>
    </w:p>
    <w:p w14:paraId="1B8B91D3" w14:textId="77777777" w:rsidR="00171C69" w:rsidRDefault="00000000">
      <w:pPr>
        <w:spacing w:after="480"/>
        <w:rPr>
          <w:rFonts w:hint="eastAsia"/>
        </w:rPr>
      </w:pPr>
      <w:r>
        <w:rPr>
          <w:rFonts w:ascii="Arial" w:hAnsi="Arial"/>
          <w:color w:val="666666"/>
          <w:sz w:val="19"/>
        </w:rPr>
        <w:t>June 9, 2026</w:t>
      </w:r>
    </w:p>
    <w:p w14:paraId="546619BA" w14:textId="77777777" w:rsidR="00171C69" w:rsidRDefault="00000000">
      <w:pPr>
        <w:spacing w:after="200" w:line="288" w:lineRule="auto"/>
        <w:rPr>
          <w:rFonts w:hint="eastAsia"/>
        </w:rPr>
      </w:pPr>
      <w:r>
        <w:rPr>
          <w:b/>
          <w:color w:val="1A1A1A"/>
          <w:sz w:val="40"/>
        </w:rPr>
        <w:t>Götz Winery Named "Visit Tokaj 2025 Winery of the Year" Following Near-Perfect Platinum Review Scores</w:t>
      </w:r>
    </w:p>
    <w:p w14:paraId="6BF5D8BF" w14:textId="77777777" w:rsidR="00171C69" w:rsidRDefault="00000000">
      <w:pPr>
        <w:spacing w:after="560" w:line="312" w:lineRule="auto"/>
        <w:rPr>
          <w:rFonts w:hint="eastAsia"/>
        </w:rPr>
      </w:pPr>
      <w:r>
        <w:rPr>
          <w:i/>
          <w:color w:val="666666"/>
          <w:sz w:val="24"/>
        </w:rPr>
        <w:t>Led by Ildikó Götz and her family, the Hercegkút-based winery secures Visit Tokaj’s highest honor for setting the gold standard across service, atmosphere, community involvement, and global promotion.</w:t>
      </w:r>
    </w:p>
    <w:p w14:paraId="518911F8" w14:textId="77777777" w:rsidR="00171C69" w:rsidRDefault="00000000">
      <w:pPr>
        <w:rPr>
          <w:rFonts w:hint="eastAsia"/>
        </w:rPr>
      </w:pPr>
      <w:r>
        <w:rPr>
          <w:rFonts w:ascii="Arial" w:hAnsi="Arial"/>
          <w:b/>
          <w:sz w:val="19"/>
        </w:rPr>
        <w:t xml:space="preserve">TOKAJ, HUNGARY — June 9, 2026 — </w:t>
      </w:r>
      <w:r>
        <w:t xml:space="preserve">Visit Tokaj is proud to announce </w:t>
      </w:r>
      <w:r>
        <w:rPr>
          <w:b/>
        </w:rPr>
        <w:t>Götz Winery</w:t>
      </w:r>
      <w:r>
        <w:t xml:space="preserve"> as the recipient of the coveted </w:t>
      </w:r>
      <w:r>
        <w:rPr>
          <w:b/>
        </w:rPr>
        <w:t>2025 Winery of the Year Award</w:t>
      </w:r>
      <w:r>
        <w:t>. The honor recognizes Götz Winery for setting the gold standard across the Tokaj-Hegyalja region—from vineyard to glass, and from local hospitality to the global promotion of Hungary’s historic wine heritage.</w:t>
      </w:r>
    </w:p>
    <w:p w14:paraId="1283373B" w14:textId="77777777" w:rsidR="00171C69" w:rsidRDefault="00000000">
      <w:pPr>
        <w:rPr>
          <w:rFonts w:hint="eastAsia"/>
        </w:rPr>
      </w:pPr>
      <w:r>
        <w:t>This year’s award was determined by a comprehensive set of performance and hospitality criteria that define true excellence in the modern wine world:</w:t>
      </w:r>
    </w:p>
    <w:p w14:paraId="4EEA87A2" w14:textId="77777777" w:rsidR="00171C69" w:rsidRDefault="00000000">
      <w:pPr>
        <w:spacing w:before="320" w:after="120"/>
        <w:rPr>
          <w:rFonts w:hint="eastAsia"/>
        </w:rPr>
      </w:pPr>
      <w:r>
        <w:rPr>
          <w:rFonts w:ascii="Arial" w:hAnsi="Arial"/>
          <w:b/>
          <w:color w:val="8A1C14"/>
          <w:sz w:val="26"/>
        </w:rPr>
        <w:t>1. Service &amp; Hospitality</w:t>
      </w:r>
    </w:p>
    <w:p w14:paraId="16622A58" w14:textId="77777777" w:rsidR="00171C69" w:rsidRDefault="00000000">
      <w:pPr>
        <w:spacing w:after="120"/>
        <w:rPr>
          <w:rFonts w:hint="eastAsia"/>
        </w:rPr>
      </w:pPr>
      <w:r>
        <w:t xml:space="preserve">Götz Winery delivers world-class, deeply personal service from the very first greeting to the final pour. As the Wine Boss tasting review noted: </w:t>
      </w:r>
    </w:p>
    <w:tbl>
      <w:tblPr>
        <w:tblW w:w="0" w:type="auto"/>
        <w:tblLayout w:type="fixed"/>
        <w:tblLook w:val="04A0" w:firstRow="1" w:lastRow="0" w:firstColumn="1" w:lastColumn="0" w:noHBand="0" w:noVBand="1"/>
      </w:tblPr>
      <w:tblGrid>
        <w:gridCol w:w="9605"/>
      </w:tblGrid>
      <w:tr w:rsidR="00171C69" w14:paraId="304615D1" w14:textId="77777777">
        <w:tc>
          <w:tcPr>
            <w:tcW w:w="9605" w:type="dxa"/>
            <w:tcBorders>
              <w:left w:val="single" w:sz="24" w:space="0" w:color="D4A35D"/>
            </w:tcBorders>
          </w:tcPr>
          <w:p w14:paraId="4EFF394D" w14:textId="77777777" w:rsidR="00171C69" w:rsidRDefault="00000000">
            <w:pPr>
              <w:spacing w:before="80" w:after="80"/>
              <w:ind w:left="216"/>
              <w:rPr>
                <w:rFonts w:hint="eastAsia"/>
              </w:rPr>
            </w:pPr>
            <w:r>
              <w:rPr>
                <w:i/>
                <w:color w:val="3D3D3D"/>
                <w:sz w:val="21"/>
              </w:rPr>
              <w:t>"The staff at Götz Winery demonstrated exceptional knowledge and passion for their wines. They provided detailed insights into the winemaking process, the history of the winery, and the unique characteristics of each wine. Their enthusiasm and dedication to sharing their expertise made the experience even more enjoyable."</w:t>
            </w:r>
          </w:p>
        </w:tc>
      </w:tr>
    </w:tbl>
    <w:p w14:paraId="0BBFBA69" w14:textId="77777777" w:rsidR="00171C69" w:rsidRDefault="00171C69">
      <w:pPr>
        <w:spacing w:after="120"/>
        <w:rPr>
          <w:rFonts w:hint="eastAsia"/>
        </w:rPr>
      </w:pPr>
    </w:p>
    <w:p w14:paraId="555F0C8F" w14:textId="77777777" w:rsidR="00171C69" w:rsidRDefault="00000000">
      <w:pPr>
        <w:spacing w:before="320" w:after="120"/>
        <w:rPr>
          <w:rFonts w:hint="eastAsia"/>
        </w:rPr>
      </w:pPr>
      <w:r>
        <w:rPr>
          <w:rFonts w:ascii="Arial" w:hAnsi="Arial"/>
          <w:b/>
          <w:color w:val="8A1C14"/>
          <w:sz w:val="26"/>
        </w:rPr>
        <w:t>2. Atmosphere &amp; Experience</w:t>
      </w:r>
    </w:p>
    <w:p w14:paraId="3A71AF8D" w14:textId="77777777" w:rsidR="00171C69" w:rsidRDefault="00000000">
      <w:pPr>
        <w:spacing w:after="120"/>
        <w:rPr>
          <w:rFonts w:hint="eastAsia"/>
        </w:rPr>
      </w:pPr>
      <w:r>
        <w:t xml:space="preserve">The winery seamlessly blends historic Tokaj character with modern elegance. Wine Boss described the estate’s unique subterranean footprint as a regional treasure: </w:t>
      </w:r>
    </w:p>
    <w:tbl>
      <w:tblPr>
        <w:tblW w:w="0" w:type="auto"/>
        <w:tblLayout w:type="fixed"/>
        <w:tblLook w:val="04A0" w:firstRow="1" w:lastRow="0" w:firstColumn="1" w:lastColumn="0" w:noHBand="0" w:noVBand="1"/>
      </w:tblPr>
      <w:tblGrid>
        <w:gridCol w:w="9605"/>
      </w:tblGrid>
      <w:tr w:rsidR="00171C69" w14:paraId="65DF394F" w14:textId="77777777">
        <w:tc>
          <w:tcPr>
            <w:tcW w:w="9605" w:type="dxa"/>
            <w:tcBorders>
              <w:left w:val="single" w:sz="24" w:space="0" w:color="D4A35D"/>
            </w:tcBorders>
          </w:tcPr>
          <w:p w14:paraId="366899C0" w14:textId="77777777" w:rsidR="00171C69" w:rsidRDefault="00000000">
            <w:pPr>
              <w:spacing w:before="80" w:after="80"/>
              <w:ind w:left="216"/>
              <w:rPr>
                <w:rFonts w:hint="eastAsia"/>
              </w:rPr>
            </w:pPr>
            <w:r>
              <w:rPr>
                <w:i/>
                <w:color w:val="3D3D3D"/>
                <w:sz w:val="21"/>
              </w:rPr>
              <w:t xml:space="preserve">"Götz Winery’s cellar, located in the UNESCO World Heritage site of Gombos-hegy, is a true gem. The historic cellar rows and the natural mold that lines the walls create a unique atmosphere, </w:t>
            </w:r>
            <w:r>
              <w:rPr>
                <w:i/>
                <w:color w:val="3D3D3D"/>
                <w:sz w:val="21"/>
              </w:rPr>
              <w:lastRenderedPageBreak/>
              <w:t>perfect for wine tastings and events. The cellar’s temperature and humidity are perfectly controlled, ensuring the optimal aging process for the wines."</w:t>
            </w:r>
          </w:p>
        </w:tc>
      </w:tr>
    </w:tbl>
    <w:p w14:paraId="3FA66E61" w14:textId="77777777" w:rsidR="00171C69" w:rsidRDefault="00171C69">
      <w:pPr>
        <w:spacing w:after="120"/>
        <w:rPr>
          <w:rFonts w:hint="eastAsia"/>
        </w:rPr>
      </w:pPr>
    </w:p>
    <w:p w14:paraId="6EE5618B" w14:textId="77777777" w:rsidR="00171C69" w:rsidRDefault="00000000">
      <w:pPr>
        <w:spacing w:before="320" w:after="120"/>
        <w:rPr>
          <w:rFonts w:hint="eastAsia"/>
        </w:rPr>
      </w:pPr>
      <w:r>
        <w:rPr>
          <w:rFonts w:ascii="Arial" w:hAnsi="Arial"/>
          <w:b/>
          <w:color w:val="8A1C14"/>
          <w:sz w:val="26"/>
        </w:rPr>
        <w:t>3. Winemaking Excellence</w:t>
      </w:r>
    </w:p>
    <w:p w14:paraId="70DBF752" w14:textId="77777777" w:rsidR="00171C69" w:rsidRDefault="00000000">
      <w:pPr>
        <w:spacing w:after="160"/>
        <w:rPr>
          <w:rFonts w:hint="eastAsia"/>
        </w:rPr>
      </w:pPr>
      <w:r>
        <w:t>Götz consistently produces wines that honor Tokaj’s 1,000-year heritage while aggressively pushing quality forward. The VT Borfőnök testing panel awarded the winery an unprecedented sweep of medals, highlighted by near-perfect scores:</w:t>
      </w:r>
    </w:p>
    <w:tbl>
      <w:tblPr>
        <w:tblW w:w="0" w:type="auto"/>
        <w:tblLayout w:type="fixed"/>
        <w:tblLook w:val="04A0" w:firstRow="1" w:lastRow="0" w:firstColumn="1" w:lastColumn="0" w:noHBand="0" w:noVBand="1"/>
      </w:tblPr>
      <w:tblGrid>
        <w:gridCol w:w="9605"/>
      </w:tblGrid>
      <w:tr w:rsidR="00171C69" w14:paraId="44BCEA90" w14:textId="77777777">
        <w:tc>
          <w:tcPr>
            <w:tcW w:w="9605" w:type="dxa"/>
            <w:tcBorders>
              <w:top w:val="single" w:sz="4" w:space="0" w:color="EDE7DA"/>
              <w:left w:val="single" w:sz="4" w:space="0" w:color="EDE7DA"/>
              <w:bottom w:val="single" w:sz="4" w:space="0" w:color="EDE7DA"/>
              <w:right w:val="single" w:sz="4" w:space="0" w:color="EDE7DA"/>
            </w:tcBorders>
            <w:shd w:val="clear" w:color="auto" w:fill="FCFAF5"/>
          </w:tcPr>
          <w:p w14:paraId="41ABFF4C" w14:textId="77777777" w:rsidR="00171C69" w:rsidRDefault="00000000">
            <w:pPr>
              <w:spacing w:before="80" w:after="120"/>
              <w:ind w:left="216" w:right="216"/>
              <w:rPr>
                <w:rFonts w:hint="eastAsia"/>
              </w:rPr>
            </w:pPr>
            <w:r>
              <w:rPr>
                <w:color w:val="8A1C14"/>
              </w:rPr>
              <w:t xml:space="preserve">•  </w:t>
            </w:r>
            <w:r>
              <w:rPr>
                <w:b/>
                <w:sz w:val="21"/>
              </w:rPr>
              <w:t>Eszencia 2017 (VT Platinum Medal, 99/100):</w:t>
            </w:r>
            <w:r>
              <w:rPr>
                <w:sz w:val="21"/>
              </w:rPr>
              <w:t xml:space="preserve"> "A sublime masterpiece... rich, complex, and harmonious... intense fruitiness, rich botrytis notes, and high mineral content. A true revelation."</w:t>
            </w:r>
          </w:p>
          <w:p w14:paraId="7E6DDFD8" w14:textId="77777777" w:rsidR="00171C69" w:rsidRDefault="00000000">
            <w:pPr>
              <w:spacing w:before="80" w:after="120"/>
              <w:ind w:left="216" w:right="216"/>
              <w:rPr>
                <w:rFonts w:hint="eastAsia"/>
              </w:rPr>
            </w:pPr>
            <w:r>
              <w:rPr>
                <w:color w:val="8A1C14"/>
              </w:rPr>
              <w:t xml:space="preserve">•  </w:t>
            </w:r>
            <w:r>
              <w:rPr>
                <w:b/>
                <w:sz w:val="21"/>
              </w:rPr>
              <w:t>6 Puttonyos Aszú 2002 (VT Platinum Medal, 97/100):</w:t>
            </w:r>
            <w:r>
              <w:rPr>
                <w:sz w:val="21"/>
              </w:rPr>
              <w:t xml:space="preserve"> "A truly majestic wine... a masterclass in balance and harmony... a truly regal experience for the senses."</w:t>
            </w:r>
          </w:p>
          <w:p w14:paraId="58316E7C" w14:textId="77777777" w:rsidR="00171C69" w:rsidRDefault="00000000">
            <w:pPr>
              <w:spacing w:before="80" w:after="120"/>
              <w:ind w:left="216" w:right="216"/>
              <w:rPr>
                <w:rFonts w:hint="eastAsia"/>
              </w:rPr>
            </w:pPr>
            <w:r>
              <w:rPr>
                <w:color w:val="8A1C14"/>
              </w:rPr>
              <w:t xml:space="preserve">•  </w:t>
            </w:r>
            <w:r>
              <w:rPr>
                <w:b/>
                <w:sz w:val="21"/>
              </w:rPr>
              <w:t>6 Puttonyos Aszú 2018 (VT Gold Medal, 95/100):</w:t>
            </w:r>
            <w:r>
              <w:rPr>
                <w:sz w:val="21"/>
              </w:rPr>
              <w:t xml:space="preserve"> "Extraordinary quality... complex and long-lasting... truly unforgettable."</w:t>
            </w:r>
          </w:p>
          <w:p w14:paraId="7B685F30" w14:textId="77777777" w:rsidR="00171C69" w:rsidRDefault="00000000">
            <w:pPr>
              <w:spacing w:before="80" w:after="120"/>
              <w:ind w:left="216" w:right="216"/>
              <w:rPr>
                <w:rFonts w:hint="eastAsia"/>
              </w:rPr>
            </w:pPr>
            <w:r>
              <w:rPr>
                <w:color w:val="8A1C14"/>
              </w:rPr>
              <w:t xml:space="preserve">•  </w:t>
            </w:r>
            <w:r>
              <w:rPr>
                <w:b/>
                <w:sz w:val="21"/>
              </w:rPr>
              <w:t>Furmint Semi-Sweet (91/100) &amp; Sárgamuskotály Semi-Sweet (92/100):</w:t>
            </w:r>
            <w:r>
              <w:rPr>
                <w:sz w:val="21"/>
              </w:rPr>
              <w:t xml:space="preserve"> Both earned VT Gold Medals and praise for their crisp, balanced acidity and vibrant fruit charm.</w:t>
            </w:r>
          </w:p>
          <w:p w14:paraId="6E18B3F7" w14:textId="77777777" w:rsidR="00171C69" w:rsidRDefault="00000000">
            <w:pPr>
              <w:spacing w:before="80" w:after="120"/>
              <w:ind w:left="216" w:right="216"/>
              <w:rPr>
                <w:rFonts w:hint="eastAsia"/>
              </w:rPr>
            </w:pPr>
            <w:r>
              <w:rPr>
                <w:color w:val="8A1C14"/>
              </w:rPr>
              <w:t xml:space="preserve">•  </w:t>
            </w:r>
            <w:r>
              <w:rPr>
                <w:b/>
                <w:sz w:val="21"/>
              </w:rPr>
              <w:t>Sárgamuskotály Dry (91/100) &amp; Furmint Dry (89/100):</w:t>
            </w:r>
            <w:r>
              <w:rPr>
                <w:sz w:val="21"/>
              </w:rPr>
              <w:t xml:space="preserve"> Earning VT Gold and Silver medals respectively, noted for being crisp, elegant, and full of definitive Tokaj character.</w:t>
            </w:r>
          </w:p>
        </w:tc>
      </w:tr>
    </w:tbl>
    <w:p w14:paraId="1E7F7C71" w14:textId="77777777" w:rsidR="00171C69" w:rsidRDefault="00171C69">
      <w:pPr>
        <w:spacing w:after="160"/>
        <w:rPr>
          <w:rFonts w:hint="eastAsia"/>
        </w:rPr>
      </w:pPr>
    </w:p>
    <w:p w14:paraId="1BD5C4A2" w14:textId="77777777" w:rsidR="00171C69" w:rsidRDefault="00000000">
      <w:pPr>
        <w:spacing w:before="320" w:after="120"/>
        <w:rPr>
          <w:rFonts w:hint="eastAsia"/>
        </w:rPr>
      </w:pPr>
      <w:r>
        <w:rPr>
          <w:rFonts w:ascii="Arial" w:hAnsi="Arial"/>
          <w:b/>
          <w:color w:val="8A1C14"/>
          <w:sz w:val="26"/>
        </w:rPr>
        <w:t>4. Community Involvement</w:t>
      </w:r>
    </w:p>
    <w:p w14:paraId="72E53C90" w14:textId="77777777" w:rsidR="00171C69" w:rsidRDefault="00000000">
      <w:pPr>
        <w:rPr>
          <w:rFonts w:hint="eastAsia"/>
        </w:rPr>
      </w:pPr>
      <w:r>
        <w:t>Götz is far more than a commercial vineyard; it is a vital pillar of the local community. The family faithfully carries on the region’s complex traditions by harvesting entirely from their own estate vineyards, aging in centuries-old cellars, and bottling directly at their own distribution facilities. Through deep-rooted local partnerships and mentorship, they help strengthen the entire viticultural region from within.</w:t>
      </w:r>
    </w:p>
    <w:p w14:paraId="5F51459D" w14:textId="77777777" w:rsidR="00171C69" w:rsidRDefault="00000000">
      <w:pPr>
        <w:spacing w:before="320" w:after="120"/>
        <w:rPr>
          <w:rFonts w:hint="eastAsia"/>
        </w:rPr>
      </w:pPr>
      <w:r>
        <w:rPr>
          <w:rFonts w:ascii="Arial" w:hAnsi="Arial"/>
          <w:b/>
          <w:color w:val="8A1C14"/>
          <w:sz w:val="26"/>
        </w:rPr>
        <w:t>5. Global Ambassador for Tokaj</w:t>
      </w:r>
    </w:p>
    <w:p w14:paraId="4BE8880D" w14:textId="77777777" w:rsidR="00171C69" w:rsidRDefault="00000000">
      <w:pPr>
        <w:rPr>
          <w:rFonts w:hint="eastAsia"/>
        </w:rPr>
      </w:pPr>
      <w:r>
        <w:t>Few boutique wineries do more to project Tokaj onto the international map. Götz actively arranges and supports the region’s collaborative promotional efforts internationally, bringing the narrative of Tokaj wines to new foreign markets and diverse international audiences year after year.</w:t>
      </w:r>
    </w:p>
    <w:p w14:paraId="32B849C4" w14:textId="77777777" w:rsidR="00171C69" w:rsidRDefault="00000000">
      <w:pPr>
        <w:spacing w:before="360" w:after="120"/>
        <w:rPr>
          <w:rFonts w:hint="eastAsia"/>
        </w:rPr>
      </w:pPr>
      <w:r>
        <w:rPr>
          <w:rFonts w:ascii="Arial" w:hAnsi="Arial"/>
          <w:b/>
          <w:color w:val="8A1C14"/>
          <w:sz w:val="26"/>
        </w:rPr>
        <w:t>Special Accolade: Leadership in Focus</w:t>
      </w:r>
    </w:p>
    <w:p w14:paraId="62F2C562" w14:textId="77777777" w:rsidR="00171C69" w:rsidRDefault="00000000">
      <w:pPr>
        <w:rPr>
          <w:rFonts w:hint="eastAsia"/>
        </w:rPr>
      </w:pPr>
      <w:r>
        <w:t xml:space="preserve">Special organizational recognition is awarded to </w:t>
      </w:r>
      <w:r>
        <w:rPr>
          <w:b/>
        </w:rPr>
        <w:t>Ildikó Götz</w:t>
      </w:r>
      <w:r>
        <w:t xml:space="preserve"> for her tireless, passionate work creating positive awareness for Tokaj worldwide. Her long-term vision and leadership have </w:t>
      </w:r>
      <w:r>
        <w:lastRenderedPageBreak/>
        <w:t>elevated not just Götz Winery, but the entire valley’s collective reputation among wine lovers, industry trade partners, and international media globally.</w:t>
      </w:r>
    </w:p>
    <w:tbl>
      <w:tblPr>
        <w:tblW w:w="0" w:type="auto"/>
        <w:tblLayout w:type="fixed"/>
        <w:tblLook w:val="04A0" w:firstRow="1" w:lastRow="0" w:firstColumn="1" w:lastColumn="0" w:noHBand="0" w:noVBand="1"/>
      </w:tblPr>
      <w:tblGrid>
        <w:gridCol w:w="9605"/>
      </w:tblGrid>
      <w:tr w:rsidR="00171C69" w14:paraId="74E36BCB" w14:textId="77777777">
        <w:tc>
          <w:tcPr>
            <w:tcW w:w="9605" w:type="dxa"/>
            <w:tcBorders>
              <w:left w:val="single" w:sz="24" w:space="0" w:color="8A1C14"/>
            </w:tcBorders>
          </w:tcPr>
          <w:p w14:paraId="168B30FF" w14:textId="77777777" w:rsidR="00171C69" w:rsidRDefault="00000000">
            <w:pPr>
              <w:spacing w:before="120" w:after="120"/>
              <w:ind w:left="216"/>
              <w:rPr>
                <w:rFonts w:hint="eastAsia"/>
              </w:rPr>
            </w:pPr>
            <w:r>
              <w:rPr>
                <w:i/>
              </w:rPr>
              <w:t>"Götz Winery represents everything Visit Tokaj stands for—authenticity, excellence, and a lifelong commitment to sharing Tokaj with the world," said Dale Takio, Founder of Visit Tokaj. "With its well-earned VT Platinum Award, Visit Tokaj's highest honor, Götz Winery is an absolute must-visit destination. We are deeply honored to present this award and cannot wait for more global guests to experience what makes the Götz family truly the best of the best."</w:t>
            </w:r>
          </w:p>
        </w:tc>
      </w:tr>
    </w:tbl>
    <w:p w14:paraId="53AB3DAF" w14:textId="77777777" w:rsidR="00171C69" w:rsidRDefault="00171C69">
      <w:pPr>
        <w:rPr>
          <w:rFonts w:hint="eastAsia"/>
        </w:rPr>
      </w:pPr>
    </w:p>
    <w:p w14:paraId="6B6A54FD" w14:textId="77777777" w:rsidR="00171C69" w:rsidRDefault="00000000">
      <w:pPr>
        <w:spacing w:after="320"/>
        <w:rPr>
          <w:rFonts w:hint="eastAsia"/>
        </w:rPr>
      </w:pPr>
      <w:r>
        <w:t>The official award presentation will take place within the region this summer. The announcement and exclusive behind-the-scenes content will also be featured across Visit Tokaj’s global channels in the coming weeks.</w:t>
      </w:r>
    </w:p>
    <w:p w14:paraId="694B55C2" w14:textId="2AE2C8CE" w:rsidR="00171C69" w:rsidRDefault="00000000">
      <w:pPr>
        <w:rPr>
          <w:rFonts w:hint="eastAsia"/>
        </w:rPr>
      </w:pPr>
      <w:r>
        <w:t xml:space="preserve">For more information, booking inquiries, or media assets, please visit </w:t>
      </w:r>
      <w:r>
        <w:rPr>
          <w:b/>
          <w:color w:val="8A1C14"/>
        </w:rPr>
        <w:t>www.visittokaj.</w:t>
      </w:r>
      <w:r w:rsidR="00862DFF">
        <w:rPr>
          <w:b/>
          <w:color w:val="8A1C14"/>
        </w:rPr>
        <w:t>org</w:t>
      </w:r>
    </w:p>
    <w:p w14:paraId="0A25EA64" w14:textId="77777777" w:rsidR="00171C69" w:rsidRDefault="00000000">
      <w:pPr>
        <w:spacing w:before="360" w:after="480"/>
        <w:jc w:val="center"/>
        <w:rPr>
          <w:rFonts w:hint="eastAsia"/>
        </w:rPr>
      </w:pPr>
      <w:r>
        <w:rPr>
          <w:rFonts w:ascii="Arial" w:hAnsi="Arial"/>
          <w:b/>
          <w:color w:val="666666"/>
        </w:rPr>
        <w:t>###</w:t>
      </w:r>
    </w:p>
    <w:p w14:paraId="6B9DBBEB" w14:textId="77777777" w:rsidR="00171C69" w:rsidRDefault="00000000">
      <w:pPr>
        <w:spacing w:after="120"/>
        <w:rPr>
          <w:rFonts w:hint="eastAsia"/>
        </w:rPr>
      </w:pPr>
      <w:r>
        <w:rPr>
          <w:rFonts w:ascii="Arial" w:hAnsi="Arial"/>
          <w:b/>
          <w:color w:val="333333"/>
        </w:rPr>
        <w:t>About Visit Tokaj</w:t>
      </w:r>
    </w:p>
    <w:p w14:paraId="1D3F0C0D" w14:textId="77777777" w:rsidR="00171C69" w:rsidRDefault="00000000">
      <w:pPr>
        <w:spacing w:after="480"/>
        <w:rPr>
          <w:rFonts w:hint="eastAsia"/>
        </w:rPr>
      </w:pPr>
      <w:r>
        <w:t>Visit Tokaj is the leading platform promoting wine tourism and cultural travel in Hungary’s historic Tokaj wine region. Through strategic partnerships with local wineries, accommodations, and curated regional experiences, Visit Tokaj connects the world to Tokaj’s 1,000 years of heritage.</w:t>
      </w:r>
    </w:p>
    <w:p w14:paraId="16BE14EF" w14:textId="77777777" w:rsidR="00171C69" w:rsidRDefault="00000000">
      <w:pPr>
        <w:spacing w:after="120"/>
        <w:rPr>
          <w:rFonts w:hint="eastAsia"/>
        </w:rPr>
      </w:pPr>
      <w:r>
        <w:rPr>
          <w:rFonts w:ascii="Arial" w:hAnsi="Arial"/>
          <w:b/>
          <w:color w:val="333333"/>
        </w:rPr>
        <w:t>Media Contact:</w:t>
      </w:r>
    </w:p>
    <w:p w14:paraId="1535CFDF" w14:textId="77777777" w:rsidR="00171C69" w:rsidRDefault="00000000">
      <w:pPr>
        <w:spacing w:after="40"/>
        <w:rPr>
          <w:rFonts w:hint="eastAsia"/>
        </w:rPr>
      </w:pPr>
      <w:r>
        <w:rPr>
          <w:rFonts w:ascii="Arial" w:hAnsi="Arial"/>
          <w:b/>
          <w:color w:val="666666"/>
          <w:sz w:val="19"/>
        </w:rPr>
        <w:t>Contact Bureau:</w:t>
      </w:r>
      <w:r>
        <w:rPr>
          <w:rFonts w:ascii="Arial" w:hAnsi="Arial"/>
          <w:sz w:val="19"/>
        </w:rPr>
        <w:t xml:space="preserve"> Visit Tokaj International Media Relations</w:t>
      </w:r>
    </w:p>
    <w:p w14:paraId="4C745695" w14:textId="3F897BD9" w:rsidR="00171C69" w:rsidRDefault="00000000">
      <w:pPr>
        <w:spacing w:after="40"/>
        <w:rPr>
          <w:rFonts w:hint="eastAsia"/>
        </w:rPr>
      </w:pPr>
      <w:r>
        <w:rPr>
          <w:rFonts w:ascii="Arial" w:hAnsi="Arial"/>
          <w:b/>
          <w:color w:val="666666"/>
          <w:sz w:val="19"/>
        </w:rPr>
        <w:t>Email:</w:t>
      </w:r>
      <w:r>
        <w:rPr>
          <w:rFonts w:ascii="Arial" w:hAnsi="Arial"/>
          <w:sz w:val="19"/>
        </w:rPr>
        <w:t xml:space="preserve"> press@visittokaj.</w:t>
      </w:r>
      <w:r w:rsidR="0092179F">
        <w:rPr>
          <w:rFonts w:ascii="Arial" w:hAnsi="Arial"/>
          <w:sz w:val="19"/>
        </w:rPr>
        <w:t>org</w:t>
      </w:r>
    </w:p>
    <w:p w14:paraId="262A714A" w14:textId="4BD95CC0" w:rsidR="00171C69" w:rsidRDefault="00000000">
      <w:pPr>
        <w:spacing w:after="40"/>
        <w:rPr>
          <w:rFonts w:hint="eastAsia"/>
        </w:rPr>
      </w:pPr>
      <w:r>
        <w:rPr>
          <w:rFonts w:ascii="Arial" w:hAnsi="Arial"/>
          <w:b/>
          <w:color w:val="666666"/>
          <w:sz w:val="19"/>
        </w:rPr>
        <w:t>Website:</w:t>
      </w:r>
      <w:r>
        <w:rPr>
          <w:rFonts w:ascii="Arial" w:hAnsi="Arial"/>
          <w:sz w:val="19"/>
        </w:rPr>
        <w:t xml:space="preserve"> www.visittokaj.</w:t>
      </w:r>
      <w:r w:rsidR="0092179F">
        <w:rPr>
          <w:rFonts w:ascii="Arial" w:hAnsi="Arial"/>
          <w:sz w:val="19"/>
        </w:rPr>
        <w:t>org</w:t>
      </w:r>
    </w:p>
    <w:sectPr w:rsidR="00171C69" w:rsidSect="00034616">
      <w:pgSz w:w="11909" w:h="16834"/>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4356297">
    <w:abstractNumId w:val="8"/>
  </w:num>
  <w:num w:numId="2" w16cid:durableId="1468233249">
    <w:abstractNumId w:val="6"/>
  </w:num>
  <w:num w:numId="3" w16cid:durableId="1437553248">
    <w:abstractNumId w:val="5"/>
  </w:num>
  <w:num w:numId="4" w16cid:durableId="1964068848">
    <w:abstractNumId w:val="4"/>
  </w:num>
  <w:num w:numId="5" w16cid:durableId="237373798">
    <w:abstractNumId w:val="7"/>
  </w:num>
  <w:num w:numId="6" w16cid:durableId="410081912">
    <w:abstractNumId w:val="3"/>
  </w:num>
  <w:num w:numId="7" w16cid:durableId="820267371">
    <w:abstractNumId w:val="2"/>
  </w:num>
  <w:num w:numId="8" w16cid:durableId="857041402">
    <w:abstractNumId w:val="1"/>
  </w:num>
  <w:num w:numId="9" w16cid:durableId="201557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C69"/>
    <w:rsid w:val="0029639D"/>
    <w:rsid w:val="00326F90"/>
    <w:rsid w:val="00862DFF"/>
    <w:rsid w:val="008B3CBB"/>
    <w:rsid w:val="0092179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2F75D"/>
  <w14:defaultImageDpi w14:val="300"/>
  <w15:docId w15:val="{7C1A2AED-C4D7-4CE7-AD70-5ABDE8B5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40" w:line="336" w:lineRule="auto"/>
    </w:pPr>
    <w:rPr>
      <w:rFonts w:ascii="Georgia" w:hAnsi="Georgia"/>
      <w:color w:val="2B2B2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763</Words>
  <Characters>4544</Characters>
  <Application>Microsoft Office Word</Application>
  <DocSecurity>0</DocSecurity>
  <Lines>82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Dale Takio</cp:lastModifiedBy>
  <cp:revision>3</cp:revision>
  <dcterms:created xsi:type="dcterms:W3CDTF">2026-06-09T16:48:00Z</dcterms:created>
  <dcterms:modified xsi:type="dcterms:W3CDTF">2026-06-09T17:42:00Z</dcterms:modified>
  <cp:category/>
</cp:coreProperties>
</file>